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4B" w:rsidRPr="00614218" w:rsidRDefault="0033554B" w:rsidP="004B3E67">
      <w:pPr>
        <w:pStyle w:val="Header"/>
        <w:jc w:val="both"/>
        <w:rPr>
          <w:sz w:val="26"/>
          <w:szCs w:val="26"/>
        </w:rPr>
      </w:pPr>
      <w:r w:rsidRPr="00614218">
        <w:rPr>
          <w:noProof/>
          <w:sz w:val="26"/>
          <w:szCs w:val="26"/>
        </w:rPr>
        <w:drawing>
          <wp:inline distT="0" distB="0" distL="0" distR="0" wp14:anchorId="692C6E00" wp14:editId="6884D289">
            <wp:extent cx="1247775" cy="342900"/>
            <wp:effectExtent l="0" t="0" r="9525" b="0"/>
            <wp:docPr id="1" name="Picture 1"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33554B" w:rsidRPr="00614218" w:rsidRDefault="0033554B" w:rsidP="004B3E67">
      <w:pPr>
        <w:jc w:val="center"/>
        <w:rPr>
          <w:b/>
          <w:sz w:val="26"/>
          <w:szCs w:val="26"/>
        </w:rPr>
      </w:pPr>
      <w:r w:rsidRPr="00614218">
        <w:rPr>
          <w:b/>
          <w:sz w:val="26"/>
          <w:szCs w:val="26"/>
        </w:rPr>
        <w:t>YÊU CẦU TUYỂN DỤNG</w:t>
      </w:r>
    </w:p>
    <w:p w:rsidR="00C61B6B" w:rsidRPr="00614218" w:rsidRDefault="00C61B6B" w:rsidP="004B3E67">
      <w:pPr>
        <w:spacing w:after="120"/>
        <w:jc w:val="both"/>
        <w:rPr>
          <w:sz w:val="26"/>
          <w:szCs w:val="26"/>
        </w:rPr>
      </w:pPr>
    </w:p>
    <w:p w:rsidR="0014615F" w:rsidRPr="009360ED" w:rsidRDefault="00B37E98" w:rsidP="0083722C">
      <w:pPr>
        <w:spacing w:after="120"/>
        <w:jc w:val="both"/>
        <w:rPr>
          <w:b/>
          <w:i/>
          <w:sz w:val="26"/>
          <w:szCs w:val="26"/>
        </w:rPr>
      </w:pPr>
      <w:r w:rsidRPr="009360ED">
        <w:rPr>
          <w:b/>
          <w:i/>
          <w:sz w:val="26"/>
          <w:szCs w:val="26"/>
        </w:rPr>
        <w:t>V</w:t>
      </w:r>
      <w:r w:rsidR="0033554B" w:rsidRPr="009360ED">
        <w:rPr>
          <w:b/>
          <w:i/>
          <w:sz w:val="26"/>
          <w:szCs w:val="26"/>
        </w:rPr>
        <w:t xml:space="preserve">ị trí: </w:t>
      </w:r>
      <w:r w:rsidR="00B029CB" w:rsidRPr="009360ED">
        <w:rPr>
          <w:b/>
          <w:i/>
          <w:sz w:val="26"/>
          <w:szCs w:val="26"/>
        </w:rPr>
        <w:t xml:space="preserve">Cán bộ phòng </w:t>
      </w:r>
      <w:r w:rsidR="002B4B57">
        <w:rPr>
          <w:b/>
          <w:i/>
          <w:sz w:val="26"/>
          <w:szCs w:val="26"/>
        </w:rPr>
        <w:t>Quản lý rủi ro</w:t>
      </w:r>
      <w:r w:rsidR="00621FA0" w:rsidRPr="009360ED">
        <w:rPr>
          <w:b/>
          <w:i/>
          <w:sz w:val="26"/>
          <w:szCs w:val="26"/>
        </w:rPr>
        <w:t xml:space="preserve"> </w:t>
      </w:r>
      <w:r w:rsidR="008C6765">
        <w:rPr>
          <w:b/>
          <w:i/>
          <w:sz w:val="26"/>
          <w:szCs w:val="26"/>
        </w:rPr>
        <w:t>–</w:t>
      </w:r>
      <w:r w:rsidR="00621FA0" w:rsidRPr="009360ED">
        <w:rPr>
          <w:b/>
          <w:i/>
          <w:sz w:val="26"/>
          <w:szCs w:val="26"/>
        </w:rPr>
        <w:t xml:space="preserve"> </w:t>
      </w:r>
      <w:r w:rsidR="002B4B57">
        <w:rPr>
          <w:b/>
          <w:i/>
          <w:sz w:val="26"/>
          <w:szCs w:val="26"/>
        </w:rPr>
        <w:t>Khối QLRR&amp;TT</w:t>
      </w:r>
      <w:r w:rsidR="008C6765">
        <w:rPr>
          <w:b/>
          <w:i/>
          <w:sz w:val="26"/>
          <w:szCs w:val="26"/>
        </w:rPr>
        <w:t xml:space="preserve">- </w:t>
      </w:r>
      <w:r w:rsidR="00621FA0" w:rsidRPr="009360ED">
        <w:rPr>
          <w:b/>
          <w:i/>
          <w:sz w:val="26"/>
          <w:szCs w:val="26"/>
        </w:rPr>
        <w:t>Trụ sở chính</w:t>
      </w:r>
    </w:p>
    <w:p w:rsidR="003F2D03" w:rsidRPr="0083722C" w:rsidRDefault="0033554B" w:rsidP="0083722C">
      <w:pPr>
        <w:spacing w:after="120"/>
        <w:ind w:left="360" w:hanging="360"/>
        <w:jc w:val="both"/>
        <w:rPr>
          <w:b/>
          <w:sz w:val="26"/>
          <w:szCs w:val="26"/>
          <w:u w:val="single"/>
        </w:rPr>
      </w:pPr>
      <w:r w:rsidRPr="009360ED">
        <w:rPr>
          <w:b/>
          <w:sz w:val="26"/>
          <w:szCs w:val="26"/>
          <w:u w:val="single"/>
        </w:rPr>
        <w:t>Mô tả công việc</w:t>
      </w:r>
    </w:p>
    <w:p w:rsidR="002B4B57" w:rsidRPr="002B4B57" w:rsidRDefault="002B4B57" w:rsidP="002B4B57">
      <w:pPr>
        <w:spacing w:line="312" w:lineRule="auto"/>
        <w:ind w:firstLine="360"/>
        <w:rPr>
          <w:rFonts w:eastAsiaTheme="minorHAnsi"/>
          <w:sz w:val="26"/>
          <w:szCs w:val="26"/>
        </w:rPr>
      </w:pPr>
      <w:r>
        <w:rPr>
          <w:rFonts w:eastAsiaTheme="minorHAnsi"/>
          <w:sz w:val="26"/>
          <w:szCs w:val="26"/>
        </w:rPr>
        <w:t xml:space="preserve">- </w:t>
      </w:r>
      <w:r w:rsidRPr="002B4B57">
        <w:rPr>
          <w:rFonts w:eastAsiaTheme="minorHAnsi"/>
          <w:sz w:val="26"/>
          <w:szCs w:val="26"/>
        </w:rPr>
        <w:t>Tham mưu, xây dựng, triển khai các quy định liên quan trong lĩnh vực quản lý rủi ro thị trường, thanh khoản, tín dụng, hoạt động theo thông tư 13/2018/TT-NHNN</w:t>
      </w:r>
      <w:r>
        <w:rPr>
          <w:rFonts w:eastAsiaTheme="minorHAnsi"/>
          <w:sz w:val="26"/>
          <w:szCs w:val="26"/>
        </w:rPr>
        <w:t>;</w:t>
      </w:r>
    </w:p>
    <w:p w:rsidR="002B4B57" w:rsidRPr="002B4B57" w:rsidRDefault="002B4B57" w:rsidP="002B4B57">
      <w:pPr>
        <w:spacing w:line="312" w:lineRule="auto"/>
        <w:ind w:firstLine="360"/>
        <w:rPr>
          <w:rFonts w:eastAsiaTheme="minorHAnsi"/>
          <w:sz w:val="26"/>
          <w:szCs w:val="26"/>
        </w:rPr>
      </w:pPr>
      <w:r>
        <w:rPr>
          <w:rFonts w:eastAsiaTheme="minorHAnsi"/>
          <w:sz w:val="26"/>
          <w:szCs w:val="26"/>
        </w:rPr>
        <w:t xml:space="preserve">- </w:t>
      </w:r>
      <w:r w:rsidRPr="002B4B57">
        <w:rPr>
          <w:rFonts w:eastAsiaTheme="minorHAnsi"/>
          <w:sz w:val="26"/>
          <w:szCs w:val="26"/>
        </w:rPr>
        <w:t>Xây dựng và Thực hiện các báo cáo liên quan phát hiện, theo dõi, phòng ngừa các rủi ro theo chuẩ</w:t>
      </w:r>
      <w:r>
        <w:rPr>
          <w:rFonts w:eastAsiaTheme="minorHAnsi"/>
          <w:sz w:val="26"/>
          <w:szCs w:val="26"/>
        </w:rPr>
        <w:t>n Basel II và NHNN;</w:t>
      </w:r>
    </w:p>
    <w:p w:rsidR="002B4B57" w:rsidRPr="002B4B57" w:rsidRDefault="002B4B57" w:rsidP="002B4B57">
      <w:pPr>
        <w:spacing w:line="312" w:lineRule="auto"/>
        <w:ind w:firstLine="360"/>
        <w:rPr>
          <w:rFonts w:eastAsiaTheme="minorHAnsi"/>
          <w:sz w:val="26"/>
          <w:szCs w:val="26"/>
        </w:rPr>
      </w:pPr>
      <w:r>
        <w:rPr>
          <w:rFonts w:eastAsiaTheme="minorHAnsi"/>
          <w:sz w:val="26"/>
          <w:szCs w:val="26"/>
        </w:rPr>
        <w:t xml:space="preserve">- </w:t>
      </w:r>
      <w:r w:rsidRPr="002B4B57">
        <w:rPr>
          <w:rFonts w:eastAsiaTheme="minorHAnsi"/>
          <w:sz w:val="26"/>
          <w:szCs w:val="26"/>
        </w:rPr>
        <w:t>Thiết lập các giải pháp, công cụ đo lường, xây dựng, khai thác báo cáo và giám sát về rủ</w:t>
      </w:r>
      <w:r>
        <w:rPr>
          <w:rFonts w:eastAsiaTheme="minorHAnsi"/>
          <w:sz w:val="26"/>
          <w:szCs w:val="26"/>
        </w:rPr>
        <w:t>i ro;</w:t>
      </w:r>
    </w:p>
    <w:p w:rsidR="002B4B57" w:rsidRPr="002B4B57" w:rsidRDefault="002B4B57" w:rsidP="002B4B57">
      <w:pPr>
        <w:spacing w:line="312" w:lineRule="auto"/>
        <w:ind w:firstLine="360"/>
        <w:rPr>
          <w:rFonts w:eastAsiaTheme="minorHAnsi"/>
          <w:sz w:val="26"/>
          <w:szCs w:val="26"/>
        </w:rPr>
      </w:pPr>
      <w:r>
        <w:rPr>
          <w:rFonts w:eastAsiaTheme="minorHAnsi"/>
          <w:sz w:val="26"/>
          <w:szCs w:val="26"/>
        </w:rPr>
        <w:t xml:space="preserve">- </w:t>
      </w:r>
      <w:r w:rsidRPr="002B4B57">
        <w:rPr>
          <w:rFonts w:eastAsiaTheme="minorHAnsi"/>
          <w:sz w:val="26"/>
          <w:szCs w:val="26"/>
        </w:rPr>
        <w:t>Thực hiện các theo dõi, cảnh báo các hạn mức rủ</w:t>
      </w:r>
      <w:r>
        <w:rPr>
          <w:rFonts w:eastAsiaTheme="minorHAnsi"/>
          <w:sz w:val="26"/>
          <w:szCs w:val="26"/>
        </w:rPr>
        <w:t>i ro;</w:t>
      </w:r>
    </w:p>
    <w:p w:rsidR="002B4B57" w:rsidRPr="002B4B57" w:rsidRDefault="002B4B57" w:rsidP="002B4B57">
      <w:pPr>
        <w:spacing w:line="312" w:lineRule="auto"/>
        <w:ind w:firstLine="360"/>
        <w:rPr>
          <w:rFonts w:eastAsiaTheme="minorHAnsi"/>
          <w:sz w:val="26"/>
          <w:szCs w:val="26"/>
        </w:rPr>
      </w:pPr>
      <w:r>
        <w:rPr>
          <w:rFonts w:eastAsiaTheme="minorHAnsi"/>
          <w:sz w:val="26"/>
          <w:szCs w:val="26"/>
        </w:rPr>
        <w:t xml:space="preserve">- </w:t>
      </w:r>
      <w:r w:rsidRPr="002B4B57">
        <w:rPr>
          <w:rFonts w:eastAsiaTheme="minorHAnsi"/>
          <w:sz w:val="26"/>
          <w:szCs w:val="26"/>
        </w:rPr>
        <w:t>Tham gia các dự án QLRR theo tiêu chuẩn Basel II đang được triển khai.</w:t>
      </w:r>
    </w:p>
    <w:p w:rsidR="00384FEF" w:rsidRPr="009360ED" w:rsidRDefault="00384FEF" w:rsidP="0083722C">
      <w:pPr>
        <w:spacing w:after="120"/>
        <w:jc w:val="both"/>
        <w:rPr>
          <w:b/>
          <w:sz w:val="26"/>
          <w:szCs w:val="26"/>
          <w:u w:val="single"/>
        </w:rPr>
      </w:pPr>
      <w:r w:rsidRPr="009360ED">
        <w:rPr>
          <w:b/>
          <w:sz w:val="26"/>
          <w:szCs w:val="26"/>
          <w:u w:val="single"/>
        </w:rPr>
        <w:t>Yêu cầu</w:t>
      </w:r>
    </w:p>
    <w:p w:rsidR="002B4B57" w:rsidRPr="002B4B57" w:rsidRDefault="002B4B57" w:rsidP="002B4B57">
      <w:pPr>
        <w:spacing w:line="312" w:lineRule="auto"/>
        <w:ind w:firstLine="426"/>
        <w:rPr>
          <w:rFonts w:eastAsiaTheme="minorHAnsi"/>
          <w:sz w:val="26"/>
          <w:szCs w:val="26"/>
        </w:rPr>
      </w:pPr>
      <w:r>
        <w:rPr>
          <w:rFonts w:eastAsiaTheme="minorHAnsi"/>
          <w:sz w:val="26"/>
          <w:szCs w:val="26"/>
        </w:rPr>
        <w:t xml:space="preserve">- </w:t>
      </w:r>
      <w:r w:rsidRPr="002B4B57">
        <w:rPr>
          <w:rFonts w:eastAsiaTheme="minorHAnsi"/>
          <w:sz w:val="26"/>
          <w:szCs w:val="26"/>
        </w:rPr>
        <w:t>Tốt nghiệp Đại học trở lên các chuyên ngành: Kinh tế, Tài chính - Ngân hàng, Toán kinh tế,  Toán tài chính.</w:t>
      </w:r>
    </w:p>
    <w:p w:rsidR="002B4B57" w:rsidRPr="002B4B57" w:rsidRDefault="002B4B57" w:rsidP="002B4B57">
      <w:pPr>
        <w:spacing w:line="312" w:lineRule="auto"/>
        <w:ind w:firstLine="426"/>
        <w:rPr>
          <w:rFonts w:eastAsiaTheme="minorHAnsi"/>
          <w:sz w:val="26"/>
          <w:szCs w:val="26"/>
        </w:rPr>
      </w:pPr>
      <w:r>
        <w:rPr>
          <w:rFonts w:eastAsiaTheme="minorHAnsi"/>
          <w:sz w:val="26"/>
          <w:szCs w:val="26"/>
        </w:rPr>
        <w:t xml:space="preserve">- </w:t>
      </w:r>
      <w:r w:rsidRPr="002B4B57">
        <w:rPr>
          <w:rFonts w:eastAsiaTheme="minorHAnsi"/>
          <w:sz w:val="26"/>
          <w:szCs w:val="26"/>
        </w:rPr>
        <w:t>Tối thiểu 01 đến 02 năm kinh nghiệm làm việc trong lĩnh vực tài chính ngân hàng, đặc biệt ưu tiên trong lĩnh vực liên quan đến quản lý rủi ro ngân hàng, toán kinh tế.</w:t>
      </w:r>
    </w:p>
    <w:p w:rsidR="002B4B57" w:rsidRPr="002B4B57" w:rsidRDefault="002B4B57" w:rsidP="002B4B57">
      <w:pPr>
        <w:spacing w:line="312" w:lineRule="auto"/>
        <w:ind w:left="360"/>
        <w:rPr>
          <w:rFonts w:eastAsiaTheme="minorHAnsi"/>
          <w:sz w:val="26"/>
          <w:szCs w:val="26"/>
        </w:rPr>
      </w:pPr>
      <w:r>
        <w:rPr>
          <w:rFonts w:eastAsiaTheme="minorHAnsi"/>
          <w:sz w:val="26"/>
          <w:szCs w:val="26"/>
        </w:rPr>
        <w:t xml:space="preserve">- </w:t>
      </w:r>
      <w:bookmarkStart w:id="0" w:name="_GoBack"/>
      <w:bookmarkEnd w:id="0"/>
      <w:r w:rsidRPr="002B4B57">
        <w:rPr>
          <w:rFonts w:eastAsiaTheme="minorHAnsi"/>
          <w:sz w:val="26"/>
          <w:szCs w:val="26"/>
        </w:rPr>
        <w:t>Ưu tiên các ứng viên:</w:t>
      </w:r>
    </w:p>
    <w:p w:rsidR="002B4B57" w:rsidRPr="002B4B57" w:rsidRDefault="002B4B57" w:rsidP="002B4B57">
      <w:pPr>
        <w:pStyle w:val="ListParagraph"/>
        <w:numPr>
          <w:ilvl w:val="0"/>
          <w:numId w:val="10"/>
        </w:numPr>
        <w:spacing w:after="0" w:afterAutospacing="0" w:line="312" w:lineRule="auto"/>
        <w:rPr>
          <w:rFonts w:ascii="Times New Roman" w:hAnsi="Times New Roman" w:cs="Times New Roman"/>
          <w:sz w:val="26"/>
          <w:szCs w:val="26"/>
        </w:rPr>
      </w:pPr>
      <w:r w:rsidRPr="002B4B57">
        <w:rPr>
          <w:rFonts w:ascii="Times New Roman" w:hAnsi="Times New Roman" w:cs="Times New Roman"/>
          <w:sz w:val="26"/>
          <w:szCs w:val="26"/>
        </w:rPr>
        <w:t>Có kiến thức về quản lý rủi ro, về mô hình định giá, phân tích thị trường tài chính, phân tích thống kê, phân tích định lượng, có kiến thức tốt về xác xuất thống kê.</w:t>
      </w:r>
    </w:p>
    <w:p w:rsidR="002B4B57" w:rsidRPr="002B4B57" w:rsidRDefault="002B4B57" w:rsidP="002B4B57">
      <w:pPr>
        <w:pStyle w:val="ListParagraph"/>
        <w:numPr>
          <w:ilvl w:val="0"/>
          <w:numId w:val="10"/>
        </w:numPr>
        <w:spacing w:after="0" w:afterAutospacing="0" w:line="312" w:lineRule="auto"/>
        <w:rPr>
          <w:rFonts w:ascii="Times New Roman" w:hAnsi="Times New Roman" w:cs="Times New Roman"/>
          <w:sz w:val="26"/>
          <w:szCs w:val="26"/>
        </w:rPr>
      </w:pPr>
      <w:r w:rsidRPr="002B4B57">
        <w:rPr>
          <w:rFonts w:ascii="Times New Roman" w:hAnsi="Times New Roman" w:cs="Times New Roman"/>
          <w:sz w:val="26"/>
          <w:szCs w:val="26"/>
        </w:rPr>
        <w:t>Khả năng nhận diện rủi ro, phân tích và báo cáo vấn đề rõ ràng, mạch lạc.</w:t>
      </w:r>
    </w:p>
    <w:p w:rsidR="002B4B57" w:rsidRPr="002B4B57" w:rsidRDefault="002B4B57" w:rsidP="002B4B57">
      <w:pPr>
        <w:pStyle w:val="ListParagraph"/>
        <w:numPr>
          <w:ilvl w:val="0"/>
          <w:numId w:val="10"/>
        </w:numPr>
        <w:spacing w:after="0" w:afterAutospacing="0" w:line="312" w:lineRule="auto"/>
        <w:rPr>
          <w:rFonts w:ascii="Times New Roman" w:hAnsi="Times New Roman" w:cs="Times New Roman"/>
          <w:sz w:val="26"/>
          <w:szCs w:val="26"/>
        </w:rPr>
      </w:pPr>
      <w:r w:rsidRPr="002B4B57">
        <w:rPr>
          <w:rFonts w:ascii="Times New Roman" w:hAnsi="Times New Roman" w:cs="Times New Roman"/>
          <w:sz w:val="26"/>
          <w:szCs w:val="26"/>
        </w:rPr>
        <w:t>Anh văn: đọc hiểu và giao tiếp tốt; có khả năng nghiên cứu tài liệu tiếng anh.</w:t>
      </w:r>
    </w:p>
    <w:p w:rsidR="002B4B57" w:rsidRPr="002B4B57" w:rsidRDefault="002B4B57" w:rsidP="002B4B57">
      <w:pPr>
        <w:pStyle w:val="ListParagraph"/>
        <w:numPr>
          <w:ilvl w:val="0"/>
          <w:numId w:val="10"/>
        </w:numPr>
        <w:spacing w:after="0" w:afterAutospacing="0" w:line="312" w:lineRule="auto"/>
        <w:rPr>
          <w:rFonts w:ascii="Times New Roman" w:hAnsi="Times New Roman" w:cs="Times New Roman"/>
          <w:sz w:val="26"/>
          <w:szCs w:val="26"/>
        </w:rPr>
      </w:pPr>
      <w:r w:rsidRPr="002B4B57">
        <w:rPr>
          <w:rFonts w:ascii="Times New Roman" w:hAnsi="Times New Roman" w:cs="Times New Roman"/>
          <w:sz w:val="26"/>
          <w:szCs w:val="26"/>
        </w:rPr>
        <w:t>Sử dụng tốt Microsoft Excel.</w:t>
      </w:r>
    </w:p>
    <w:p w:rsidR="0083722C" w:rsidRPr="002B4B57" w:rsidRDefault="002B4B57" w:rsidP="002B4B57">
      <w:pPr>
        <w:pStyle w:val="ListParagraph"/>
        <w:numPr>
          <w:ilvl w:val="0"/>
          <w:numId w:val="10"/>
        </w:numPr>
        <w:spacing w:after="0" w:afterAutospacing="0" w:line="312" w:lineRule="auto"/>
        <w:rPr>
          <w:rFonts w:ascii="Times New Roman" w:hAnsi="Times New Roman" w:cs="Times New Roman"/>
          <w:sz w:val="26"/>
          <w:szCs w:val="26"/>
        </w:rPr>
      </w:pPr>
      <w:r w:rsidRPr="002B4B57">
        <w:rPr>
          <w:rFonts w:ascii="Times New Roman" w:hAnsi="Times New Roman" w:cs="Times New Roman"/>
          <w:sz w:val="26"/>
          <w:szCs w:val="26"/>
        </w:rPr>
        <w:t>Có kiến thức chung về các quy định của Nhà nước về lĩnh vực liên quan.</w:t>
      </w:r>
    </w:p>
    <w:p w:rsidR="003656ED" w:rsidRPr="009360ED" w:rsidRDefault="003656ED" w:rsidP="0083722C">
      <w:pPr>
        <w:spacing w:after="120"/>
        <w:ind w:firstLine="270"/>
        <w:jc w:val="both"/>
        <w:rPr>
          <w:b/>
          <w:sz w:val="26"/>
          <w:szCs w:val="26"/>
          <w:u w:val="single"/>
        </w:rPr>
      </w:pPr>
      <w:r w:rsidRPr="009360ED">
        <w:rPr>
          <w:b/>
          <w:sz w:val="26"/>
          <w:szCs w:val="26"/>
          <w:u w:val="single"/>
        </w:rPr>
        <w:t>Mức lương</w:t>
      </w:r>
      <w:r w:rsidR="008104B0" w:rsidRPr="009360ED">
        <w:rPr>
          <w:b/>
          <w:sz w:val="26"/>
          <w:szCs w:val="26"/>
          <w:u w:val="single"/>
        </w:rPr>
        <w:t xml:space="preserve"> dự kiến</w:t>
      </w:r>
    </w:p>
    <w:p w:rsidR="00B37E98" w:rsidRPr="00E60A14" w:rsidRDefault="003656ED" w:rsidP="0083722C">
      <w:pPr>
        <w:pStyle w:val="ListParagraph"/>
        <w:numPr>
          <w:ilvl w:val="0"/>
          <w:numId w:val="1"/>
        </w:numPr>
        <w:tabs>
          <w:tab w:val="left" w:pos="284"/>
          <w:tab w:val="left" w:pos="450"/>
        </w:tabs>
        <w:spacing w:after="120" w:afterAutospacing="0" w:line="240" w:lineRule="auto"/>
        <w:ind w:left="270" w:firstLine="34"/>
        <w:contextualSpacing w:val="0"/>
        <w:jc w:val="left"/>
        <w:rPr>
          <w:rFonts w:ascii="Times New Roman" w:hAnsi="Times New Roman" w:cs="Times New Roman"/>
          <w:sz w:val="26"/>
          <w:szCs w:val="26"/>
        </w:rPr>
        <w:sectPr w:rsidR="00B37E98" w:rsidRPr="00E60A14" w:rsidSect="0033554B">
          <w:pgSz w:w="12240" w:h="15840"/>
          <w:pgMar w:top="1134" w:right="851" w:bottom="1134" w:left="1701" w:header="720" w:footer="720" w:gutter="0"/>
          <w:cols w:space="720"/>
          <w:docGrid w:linePitch="360"/>
        </w:sectPr>
      </w:pPr>
      <w:r w:rsidRPr="009360ED">
        <w:rPr>
          <w:rFonts w:ascii="Times New Roman" w:hAnsi="Times New Roman" w:cs="Times New Roman"/>
          <w:sz w:val="26"/>
          <w:szCs w:val="26"/>
        </w:rPr>
        <w:t>Theo thỏa thuậ</w:t>
      </w:r>
      <w:r w:rsidR="00E60A14">
        <w:rPr>
          <w:rFonts w:ascii="Times New Roman" w:hAnsi="Times New Roman" w:cs="Times New Roman"/>
          <w:sz w:val="26"/>
          <w:szCs w:val="26"/>
        </w:rPr>
        <w:t>n./</w:t>
      </w:r>
    </w:p>
    <w:p w:rsidR="00F1554D" w:rsidRPr="009360ED" w:rsidRDefault="00F1554D" w:rsidP="00E60A14">
      <w:pPr>
        <w:pStyle w:val="Header"/>
        <w:jc w:val="both"/>
        <w:rPr>
          <w:sz w:val="26"/>
          <w:szCs w:val="26"/>
        </w:rPr>
      </w:pPr>
    </w:p>
    <w:sectPr w:rsidR="00F1554D" w:rsidRPr="009360ED" w:rsidSect="0033554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652"/>
    <w:multiLevelType w:val="hybridMultilevel"/>
    <w:tmpl w:val="5E94A7EA"/>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84E23"/>
    <w:multiLevelType w:val="hybridMultilevel"/>
    <w:tmpl w:val="C5E8EF6E"/>
    <w:lvl w:ilvl="0" w:tplc="1BBA2D9C">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1260D5"/>
    <w:multiLevelType w:val="hybridMultilevel"/>
    <w:tmpl w:val="4DE01F0C"/>
    <w:lvl w:ilvl="0" w:tplc="1D92E7C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D2126"/>
    <w:multiLevelType w:val="hybridMultilevel"/>
    <w:tmpl w:val="6ED20CC2"/>
    <w:lvl w:ilvl="0" w:tplc="C254883A">
      <w:start w:val="3"/>
      <w:numFmt w:val="bullet"/>
      <w:lvlText w:val="-"/>
      <w:lvlJc w:val="left"/>
      <w:pPr>
        <w:ind w:left="1004" w:hanging="360"/>
      </w:pPr>
      <w:rPr>
        <w:rFonts w:ascii="Calibri" w:eastAsiaTheme="minorHAnsi" w:hAnsi="Calibri" w:cs="Calibr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40B935CB"/>
    <w:multiLevelType w:val="hybridMultilevel"/>
    <w:tmpl w:val="BAA03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D29A8"/>
    <w:multiLevelType w:val="hybridMultilevel"/>
    <w:tmpl w:val="6DFAB228"/>
    <w:lvl w:ilvl="0" w:tplc="7146039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4CCA27EA"/>
    <w:multiLevelType w:val="hybridMultilevel"/>
    <w:tmpl w:val="9B58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213C0E"/>
    <w:multiLevelType w:val="multilevel"/>
    <w:tmpl w:val="538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42087"/>
    <w:multiLevelType w:val="hybridMultilevel"/>
    <w:tmpl w:val="736EB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E"/>
    <w:rsid w:val="000F2A9E"/>
    <w:rsid w:val="00126AD2"/>
    <w:rsid w:val="0014615F"/>
    <w:rsid w:val="001B62F7"/>
    <w:rsid w:val="00247771"/>
    <w:rsid w:val="002857DF"/>
    <w:rsid w:val="002A3877"/>
    <w:rsid w:val="002B4B57"/>
    <w:rsid w:val="002C662E"/>
    <w:rsid w:val="00311103"/>
    <w:rsid w:val="00316CF0"/>
    <w:rsid w:val="0033554B"/>
    <w:rsid w:val="003656ED"/>
    <w:rsid w:val="00384FEF"/>
    <w:rsid w:val="003F2D03"/>
    <w:rsid w:val="00471797"/>
    <w:rsid w:val="004B2FA8"/>
    <w:rsid w:val="004B3E67"/>
    <w:rsid w:val="004E389C"/>
    <w:rsid w:val="00507307"/>
    <w:rsid w:val="005B654C"/>
    <w:rsid w:val="005D0520"/>
    <w:rsid w:val="005D61AB"/>
    <w:rsid w:val="00614218"/>
    <w:rsid w:val="00621FA0"/>
    <w:rsid w:val="00676A0B"/>
    <w:rsid w:val="006C6217"/>
    <w:rsid w:val="00735486"/>
    <w:rsid w:val="007C0C14"/>
    <w:rsid w:val="00801716"/>
    <w:rsid w:val="00807F2F"/>
    <w:rsid w:val="008104B0"/>
    <w:rsid w:val="00824E7A"/>
    <w:rsid w:val="0083722C"/>
    <w:rsid w:val="008C6765"/>
    <w:rsid w:val="009360ED"/>
    <w:rsid w:val="009D7096"/>
    <w:rsid w:val="00A76CB5"/>
    <w:rsid w:val="00A801B3"/>
    <w:rsid w:val="00B029CB"/>
    <w:rsid w:val="00B16C55"/>
    <w:rsid w:val="00B21BC8"/>
    <w:rsid w:val="00B300EB"/>
    <w:rsid w:val="00B30C2A"/>
    <w:rsid w:val="00B37E98"/>
    <w:rsid w:val="00B840F5"/>
    <w:rsid w:val="00BE1342"/>
    <w:rsid w:val="00C61B6B"/>
    <w:rsid w:val="00C75124"/>
    <w:rsid w:val="00CF1716"/>
    <w:rsid w:val="00D02BCA"/>
    <w:rsid w:val="00D1788F"/>
    <w:rsid w:val="00D93B2A"/>
    <w:rsid w:val="00E11FBA"/>
    <w:rsid w:val="00E1419D"/>
    <w:rsid w:val="00E60A14"/>
    <w:rsid w:val="00EA2955"/>
    <w:rsid w:val="00ED3D79"/>
    <w:rsid w:val="00ED76DE"/>
    <w:rsid w:val="00F1015B"/>
    <w:rsid w:val="00F1554D"/>
    <w:rsid w:val="00FA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4B"/>
    <w:pPr>
      <w:tabs>
        <w:tab w:val="center" w:pos="4680"/>
        <w:tab w:val="right" w:pos="9360"/>
      </w:tabs>
    </w:pPr>
  </w:style>
  <w:style w:type="character" w:customStyle="1" w:styleId="HeaderChar">
    <w:name w:val="Header Char"/>
    <w:basedOn w:val="DefaultParagraphFont"/>
    <w:link w:val="Header"/>
    <w:uiPriority w:val="99"/>
    <w:rsid w:val="003355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54B"/>
    <w:rPr>
      <w:rFonts w:ascii="Tahoma" w:hAnsi="Tahoma" w:cs="Tahoma"/>
      <w:sz w:val="16"/>
      <w:szCs w:val="16"/>
    </w:rPr>
  </w:style>
  <w:style w:type="character" w:customStyle="1" w:styleId="BalloonTextChar">
    <w:name w:val="Balloon Text Char"/>
    <w:basedOn w:val="DefaultParagraphFont"/>
    <w:link w:val="BalloonText"/>
    <w:uiPriority w:val="99"/>
    <w:semiHidden/>
    <w:rsid w:val="0033554B"/>
    <w:rPr>
      <w:rFonts w:ascii="Tahoma" w:eastAsia="Times New Roman" w:hAnsi="Tahoma" w:cs="Tahoma"/>
      <w:sz w:val="16"/>
      <w:szCs w:val="16"/>
    </w:rPr>
  </w:style>
  <w:style w:type="paragraph" w:styleId="ListParagraph">
    <w:name w:val="List Paragraph"/>
    <w:aliases w:val="bullet,List Paragraph1"/>
    <w:basedOn w:val="Normal"/>
    <w:link w:val="ListParagraphChar"/>
    <w:uiPriority w:val="34"/>
    <w:qFormat/>
    <w:rsid w:val="0033554B"/>
    <w:pPr>
      <w:spacing w:after="100" w:afterAutospacing="1" w:line="340" w:lineRule="exact"/>
      <w:ind w:left="720" w:hanging="357"/>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ullet Char,List Paragraph1 Char"/>
    <w:link w:val="ListParagraph"/>
    <w:uiPriority w:val="34"/>
    <w:locked/>
    <w:rsid w:val="0033554B"/>
  </w:style>
  <w:style w:type="paragraph" w:styleId="Footer">
    <w:name w:val="footer"/>
    <w:basedOn w:val="Normal"/>
    <w:link w:val="FooterChar"/>
    <w:uiPriority w:val="99"/>
    <w:unhideWhenUsed/>
    <w:rsid w:val="00B37E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4B"/>
    <w:pPr>
      <w:tabs>
        <w:tab w:val="center" w:pos="4680"/>
        <w:tab w:val="right" w:pos="9360"/>
      </w:tabs>
    </w:pPr>
  </w:style>
  <w:style w:type="character" w:customStyle="1" w:styleId="HeaderChar">
    <w:name w:val="Header Char"/>
    <w:basedOn w:val="DefaultParagraphFont"/>
    <w:link w:val="Header"/>
    <w:uiPriority w:val="99"/>
    <w:rsid w:val="003355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54B"/>
    <w:rPr>
      <w:rFonts w:ascii="Tahoma" w:hAnsi="Tahoma" w:cs="Tahoma"/>
      <w:sz w:val="16"/>
      <w:szCs w:val="16"/>
    </w:rPr>
  </w:style>
  <w:style w:type="character" w:customStyle="1" w:styleId="BalloonTextChar">
    <w:name w:val="Balloon Text Char"/>
    <w:basedOn w:val="DefaultParagraphFont"/>
    <w:link w:val="BalloonText"/>
    <w:uiPriority w:val="99"/>
    <w:semiHidden/>
    <w:rsid w:val="0033554B"/>
    <w:rPr>
      <w:rFonts w:ascii="Tahoma" w:eastAsia="Times New Roman" w:hAnsi="Tahoma" w:cs="Tahoma"/>
      <w:sz w:val="16"/>
      <w:szCs w:val="16"/>
    </w:rPr>
  </w:style>
  <w:style w:type="paragraph" w:styleId="ListParagraph">
    <w:name w:val="List Paragraph"/>
    <w:aliases w:val="bullet,List Paragraph1"/>
    <w:basedOn w:val="Normal"/>
    <w:link w:val="ListParagraphChar"/>
    <w:uiPriority w:val="34"/>
    <w:qFormat/>
    <w:rsid w:val="0033554B"/>
    <w:pPr>
      <w:spacing w:after="100" w:afterAutospacing="1" w:line="340" w:lineRule="exact"/>
      <w:ind w:left="720" w:hanging="357"/>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ullet Char,List Paragraph1 Char"/>
    <w:link w:val="ListParagraph"/>
    <w:uiPriority w:val="34"/>
    <w:locked/>
    <w:rsid w:val="0033554B"/>
  </w:style>
  <w:style w:type="paragraph" w:styleId="Footer">
    <w:name w:val="footer"/>
    <w:basedOn w:val="Normal"/>
    <w:link w:val="FooterChar"/>
    <w:uiPriority w:val="99"/>
    <w:unhideWhenUsed/>
    <w:rsid w:val="00B37E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saocodon</cp:lastModifiedBy>
  <cp:revision>3</cp:revision>
  <cp:lastPrinted>2018-04-18T07:44:00Z</cp:lastPrinted>
  <dcterms:created xsi:type="dcterms:W3CDTF">2019-02-21T03:09:00Z</dcterms:created>
  <dcterms:modified xsi:type="dcterms:W3CDTF">2019-02-21T03:12:00Z</dcterms:modified>
</cp:coreProperties>
</file>